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933B4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1C014D0B" w14:textId="77777777" w:rsidR="00225581" w:rsidRDefault="008559D8" w:rsidP="00225581">
      <w:pPr>
        <w:ind w:left="-851" w:right="-851"/>
        <w:jc w:val="center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  <w:u w:val="single"/>
        </w:rPr>
        <w:t>Composition des solutions aqueuses</w:t>
      </w:r>
      <w:r w:rsidR="00225581" w:rsidRPr="00225581">
        <w:rPr>
          <w:rFonts w:ascii="Comic Sans MS" w:hAnsi="Comic Sans MS"/>
          <w:color w:val="FF0000"/>
          <w:sz w:val="28"/>
          <w:szCs w:val="28"/>
        </w:rPr>
        <w:t xml:space="preserve"> </w:t>
      </w:r>
      <w:r w:rsidR="00225581">
        <w:rPr>
          <w:rFonts w:ascii="Comic Sans MS" w:hAnsi="Comic Sans MS"/>
        </w:rPr>
        <w:t xml:space="preserve">livre p </w:t>
      </w:r>
      <w:r>
        <w:rPr>
          <w:rFonts w:ascii="Comic Sans MS" w:hAnsi="Comic Sans MS"/>
        </w:rPr>
        <w:t>3</w:t>
      </w:r>
      <w:r w:rsidR="00225581">
        <w:rPr>
          <w:rFonts w:ascii="Comic Sans MS" w:hAnsi="Comic Sans MS"/>
        </w:rPr>
        <w:t xml:space="preserve">8 à </w:t>
      </w:r>
      <w:r>
        <w:rPr>
          <w:rFonts w:ascii="Comic Sans MS" w:hAnsi="Comic Sans MS"/>
        </w:rPr>
        <w:t>5</w:t>
      </w:r>
      <w:r w:rsidR="009329F7">
        <w:rPr>
          <w:rFonts w:ascii="Comic Sans MS" w:hAnsi="Comic Sans MS"/>
        </w:rPr>
        <w:t>5</w:t>
      </w:r>
    </w:p>
    <w:p w14:paraId="78F571DD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7B1E2770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4EDBF324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70B84DE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FF51BDB" w14:textId="77777777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lire le cours p </w:t>
      </w:r>
      <w:r w:rsidR="008559D8">
        <w:rPr>
          <w:rFonts w:ascii="Comic Sans MS" w:hAnsi="Comic Sans MS"/>
          <w:sz w:val="28"/>
          <w:szCs w:val="28"/>
        </w:rPr>
        <w:t>43 à 46</w:t>
      </w:r>
    </w:p>
    <w:p w14:paraId="393A66EB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108B0E5B" w14:textId="63618FBE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F32E8E">
        <w:rPr>
          <w:rFonts w:ascii="Comic Sans MS" w:hAnsi="Comic Sans MS"/>
          <w:sz w:val="28"/>
          <w:szCs w:val="28"/>
        </w:rPr>
        <w:t>cours et l’apprendre</w:t>
      </w:r>
    </w:p>
    <w:p w14:paraId="41B26963" w14:textId="77777777" w:rsidR="00A85EE1" w:rsidRPr="00860CBB" w:rsidRDefault="0022558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Mise en pratique : </w:t>
      </w:r>
      <w:r w:rsidR="00860CBB">
        <w:rPr>
          <w:rFonts w:ascii="Comic Sans MS" w:hAnsi="Comic Sans MS"/>
          <w:sz w:val="36"/>
          <w:szCs w:val="36"/>
          <w:highlight w:val="yellow"/>
        </w:rPr>
        <w:t>TP</w:t>
      </w:r>
    </w:p>
    <w:p w14:paraId="7481DADF" w14:textId="77777777" w:rsidR="00163C4A" w:rsidRDefault="008559D8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</w:t>
      </w:r>
      <w:r w:rsidR="009329F7">
        <w:rPr>
          <w:rFonts w:ascii="Comic Sans MS" w:hAnsi="Comic Sans MS"/>
          <w:sz w:val="28"/>
          <w:szCs w:val="28"/>
        </w:rPr>
        <w:t> : découverte dissolution et dilution</w:t>
      </w:r>
    </w:p>
    <w:p w14:paraId="34B68A09" w14:textId="77777777" w:rsidR="009329F7" w:rsidRDefault="009329F7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 : méthode d’étalonnage : combien de sucres dans un coca ?</w:t>
      </w:r>
    </w:p>
    <w:p w14:paraId="59DA39D5" w14:textId="77777777" w:rsidR="009329F7" w:rsidRDefault="009329F7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 : échelle de teinte : concentration du Dakin</w:t>
      </w:r>
    </w:p>
    <w:p w14:paraId="23E993EC" w14:textId="3BE28647" w:rsidR="000005E4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C461526" w14:textId="07E08E56" w:rsidR="00F32E8E" w:rsidRPr="00F32E8E" w:rsidRDefault="00F32E8E" w:rsidP="00F32E8E">
      <w:pPr>
        <w:ind w:left="-284" w:right="-993"/>
        <w:rPr>
          <w:rFonts w:ascii="Comic Sans MS" w:hAnsi="Comic Sans MS"/>
          <w:sz w:val="28"/>
          <w:szCs w:val="28"/>
        </w:rPr>
      </w:pPr>
      <w:r w:rsidRPr="00F32E8E">
        <w:rPr>
          <w:rFonts w:ascii="Comic Sans MS" w:hAnsi="Comic Sans MS"/>
          <w:sz w:val="28"/>
          <w:szCs w:val="28"/>
        </w:rPr>
        <w:t>Faire les exercices de la fiche (sur le site)</w:t>
      </w:r>
    </w:p>
    <w:p w14:paraId="0DFD7BFF" w14:textId="77777777" w:rsidR="00A85EE1" w:rsidRPr="00F917EC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917EC">
        <w:rPr>
          <w:rFonts w:ascii="Comic Sans MS" w:hAnsi="Comic Sans MS"/>
          <w:sz w:val="36"/>
          <w:szCs w:val="36"/>
          <w:highlight w:val="yellow"/>
        </w:rPr>
        <w:t>Défi :</w:t>
      </w:r>
      <w:r w:rsidR="00F917EC">
        <w:rPr>
          <w:rFonts w:ascii="Comic Sans MS" w:hAnsi="Comic Sans MS"/>
          <w:sz w:val="36"/>
          <w:szCs w:val="36"/>
          <w:highlight w:val="yellow"/>
        </w:rPr>
        <w:t xml:space="preserve"> (pour les plus rapides)</w:t>
      </w:r>
    </w:p>
    <w:p w14:paraId="508AAC25" w14:textId="7D180DCE" w:rsidR="00163C4A" w:rsidRP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163C4A">
        <w:rPr>
          <w:rFonts w:ascii="Comic Sans MS" w:hAnsi="Comic Sans MS"/>
          <w:sz w:val="28"/>
          <w:szCs w:val="28"/>
        </w:rPr>
        <w:t>Résoudre le problème</w:t>
      </w:r>
      <w:r>
        <w:rPr>
          <w:rFonts w:ascii="Comic Sans MS" w:hAnsi="Comic Sans MS"/>
          <w:sz w:val="28"/>
          <w:szCs w:val="28"/>
        </w:rPr>
        <w:t xml:space="preserve"> </w:t>
      </w:r>
      <w:r w:rsidR="008559D8">
        <w:rPr>
          <w:rFonts w:ascii="Comic Sans MS" w:hAnsi="Comic Sans MS"/>
          <w:sz w:val="28"/>
          <w:szCs w:val="28"/>
        </w:rPr>
        <w:t>35</w:t>
      </w:r>
      <w:r w:rsidR="00E6179B">
        <w:rPr>
          <w:rFonts w:ascii="Comic Sans MS" w:hAnsi="Comic Sans MS"/>
          <w:sz w:val="28"/>
          <w:szCs w:val="28"/>
        </w:rPr>
        <w:t xml:space="preserve"> </w:t>
      </w:r>
      <w:r w:rsidR="008559D8">
        <w:rPr>
          <w:rFonts w:ascii="Comic Sans MS" w:hAnsi="Comic Sans MS"/>
          <w:sz w:val="28"/>
          <w:szCs w:val="28"/>
        </w:rPr>
        <w:t>p54</w:t>
      </w:r>
      <w:r w:rsidR="00E6179B">
        <w:rPr>
          <w:rFonts w:ascii="Comic Sans MS" w:hAnsi="Comic Sans MS"/>
          <w:sz w:val="28"/>
          <w:szCs w:val="28"/>
        </w:rPr>
        <w:t xml:space="preserve"> (le livre scolaire)</w:t>
      </w:r>
    </w:p>
    <w:p w14:paraId="72FADE5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1D313DE0" w14:textId="77777777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051F74C0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22CE89F9" w14:textId="77FE4F4F" w:rsidR="00A85EE1" w:rsidRDefault="00E6179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QCM p 47 + interrogation écrite d’entrainement </w:t>
      </w:r>
    </w:p>
    <w:p w14:paraId="72358999" w14:textId="0AECB530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5EF96A1" w14:textId="43726E10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7F531E8" w14:textId="34885FCF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ED04976" w14:textId="479F15B9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D113CBD" w14:textId="5953F307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49F419E" w14:textId="6CA4F75A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FB2374D" w14:textId="43004556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C70CF34" w14:textId="0EC9EB5D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35710CB" w14:textId="6E2C3CEC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22A0945" w14:textId="71626DAA" w:rsidR="00134C0B" w:rsidRPr="00134C0B" w:rsidRDefault="00134C0B" w:rsidP="00010A0B">
      <w:pPr>
        <w:pStyle w:val="Paragraphedeliste"/>
        <w:ind w:left="-284" w:right="-993"/>
        <w:rPr>
          <w:rFonts w:ascii="Comic Sans MS" w:hAnsi="Comic Sans MS"/>
          <w:b/>
          <w:bCs/>
          <w:sz w:val="36"/>
          <w:szCs w:val="36"/>
        </w:rPr>
      </w:pPr>
      <w:r w:rsidRPr="00134C0B">
        <w:rPr>
          <w:rFonts w:ascii="Comic Sans MS" w:hAnsi="Comic Sans MS"/>
          <w:b/>
          <w:bCs/>
          <w:sz w:val="36"/>
          <w:szCs w:val="36"/>
          <w:highlight w:val="yellow"/>
        </w:rPr>
        <w:lastRenderedPageBreak/>
        <w:t>Objectifs du chapitre</w:t>
      </w:r>
    </w:p>
    <w:p w14:paraId="6815FCEE" w14:textId="2E951F23" w:rsidR="00134C0B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134C0B" w:rsidRPr="002551B0" w14:paraId="15C81782" w14:textId="77777777" w:rsidTr="0050110D">
        <w:tc>
          <w:tcPr>
            <w:tcW w:w="0" w:type="auto"/>
            <w:shd w:val="clear" w:color="auto" w:fill="E6E6E6"/>
          </w:tcPr>
          <w:p w14:paraId="6AD018AE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4C4FBD40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2A1C2BC6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134C0B" w:rsidRPr="002551B0" w14:paraId="4D70AE38" w14:textId="77777777" w:rsidTr="0050110D">
        <w:tc>
          <w:tcPr>
            <w:tcW w:w="0" w:type="auto"/>
          </w:tcPr>
          <w:p w14:paraId="383AA221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Identifier le soluté et le solvant à partir de la composition ou du mode opératoire de préparation d’une solution.</w:t>
            </w:r>
          </w:p>
        </w:tc>
        <w:tc>
          <w:tcPr>
            <w:tcW w:w="0" w:type="auto"/>
          </w:tcPr>
          <w:p w14:paraId="3C6AA5E7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626B678E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4B323A1A" w14:textId="77777777" w:rsidTr="0050110D">
        <w:tc>
          <w:tcPr>
            <w:tcW w:w="0" w:type="auto"/>
          </w:tcPr>
          <w:p w14:paraId="76D868F1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Distinguer la masse volumique d’un échantillon et la concentration en masse d’un soluté au sein d’une solution</w:t>
            </w:r>
          </w:p>
        </w:tc>
        <w:tc>
          <w:tcPr>
            <w:tcW w:w="0" w:type="auto"/>
          </w:tcPr>
          <w:p w14:paraId="673ED425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705D6D2D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0F758434" w14:textId="77777777" w:rsidTr="0050110D">
        <w:tc>
          <w:tcPr>
            <w:tcW w:w="0" w:type="auto"/>
          </w:tcPr>
          <w:p w14:paraId="60EBE0DE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Déterminer la valeur de la concentration en masse d’un soluté à partir du mode opératoire de préparation d’une solution par dissolution ou par dilution.</w:t>
            </w:r>
          </w:p>
        </w:tc>
        <w:tc>
          <w:tcPr>
            <w:tcW w:w="0" w:type="auto"/>
          </w:tcPr>
          <w:p w14:paraId="541E944A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342BCD73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651A5F66" w14:textId="77777777" w:rsidTr="0050110D">
        <w:tc>
          <w:tcPr>
            <w:tcW w:w="0" w:type="auto"/>
            <w:tcBorders>
              <w:bottom w:val="single" w:sz="4" w:space="0" w:color="auto"/>
            </w:tcBorders>
          </w:tcPr>
          <w:p w14:paraId="2A5D870C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Déterminer la valeur d’une concentration en masse et d’une concentration maximale à partir de résultats expérimentaux.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12AE20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AEE881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53CBFFE4" w14:textId="77777777" w:rsidTr="0050110D">
        <w:tc>
          <w:tcPr>
            <w:tcW w:w="0" w:type="auto"/>
            <w:shd w:val="clear" w:color="auto" w:fill="E6E6E6"/>
          </w:tcPr>
          <w:p w14:paraId="3FCAB148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/>
              </w:rPr>
            </w:pPr>
            <w:r w:rsidRPr="002551B0">
              <w:rPr>
                <w:rFonts w:ascii="Arial" w:eastAsia="Arial Unicode MS" w:hAnsi="Arial" w:cs="Arial"/>
                <w:i/>
              </w:rPr>
              <w:t>Capacités expérimentales</w:t>
            </w:r>
          </w:p>
        </w:tc>
        <w:tc>
          <w:tcPr>
            <w:tcW w:w="0" w:type="auto"/>
            <w:shd w:val="clear" w:color="auto" w:fill="E6E6E6"/>
          </w:tcPr>
          <w:p w14:paraId="5E000034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  <w:tc>
          <w:tcPr>
            <w:tcW w:w="0" w:type="auto"/>
            <w:shd w:val="clear" w:color="auto" w:fill="E6E6E6"/>
          </w:tcPr>
          <w:p w14:paraId="4114BE0E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</w:tr>
      <w:tr w:rsidR="00134C0B" w:rsidRPr="002551B0" w14:paraId="4F902081" w14:textId="77777777" w:rsidTr="0050110D">
        <w:tc>
          <w:tcPr>
            <w:tcW w:w="0" w:type="auto"/>
          </w:tcPr>
          <w:p w14:paraId="5424C1BE" w14:textId="77777777" w:rsidR="00134C0B" w:rsidRPr="002551B0" w:rsidRDefault="00134C0B" w:rsidP="0050110D">
            <w:pPr>
              <w:rPr>
                <w:rFonts w:ascii="Arial" w:eastAsia="Arial Unicode MS" w:hAnsi="Arial" w:cs="Arial"/>
                <w:i/>
              </w:rPr>
            </w:pPr>
            <w:r w:rsidRPr="002551B0">
              <w:rPr>
                <w:rFonts w:ascii="Arial" w:eastAsia="Arial Unicode MS" w:hAnsi="Arial" w:cs="Arial"/>
                <w:i/>
              </w:rPr>
              <w:t>Mesurer des masses pour étudier la variabilité du volume mesuré par une pièce de verrerie ; choisir et utiliser la verrerie adaptée pour préparer une solution par dissolution ou par dilution.</w:t>
            </w:r>
          </w:p>
        </w:tc>
        <w:tc>
          <w:tcPr>
            <w:tcW w:w="0" w:type="auto"/>
          </w:tcPr>
          <w:p w14:paraId="21296FCA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4DB26316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527EC4BF" w14:textId="77777777" w:rsidTr="0050110D">
        <w:tc>
          <w:tcPr>
            <w:tcW w:w="0" w:type="auto"/>
          </w:tcPr>
          <w:p w14:paraId="673BC2B6" w14:textId="77777777" w:rsidR="00134C0B" w:rsidRPr="002551B0" w:rsidRDefault="00134C0B" w:rsidP="0050110D">
            <w:pPr>
              <w:rPr>
                <w:rFonts w:ascii="Arial" w:eastAsia="Arial Unicode MS" w:hAnsi="Arial" w:cs="Arial"/>
                <w:i/>
              </w:rPr>
            </w:pPr>
            <w:r w:rsidRPr="002551B0">
              <w:rPr>
                <w:rFonts w:ascii="Arial" w:eastAsia="Arial Unicode MS" w:hAnsi="Arial" w:cs="Arial"/>
                <w:i/>
              </w:rPr>
              <w:t>Déterminer la valeur d’une concentration en masse à l’aide d’une gamme d’étalonnage (échelle de teinte ou mesure de masse volumique).</w:t>
            </w:r>
          </w:p>
        </w:tc>
        <w:tc>
          <w:tcPr>
            <w:tcW w:w="0" w:type="auto"/>
          </w:tcPr>
          <w:p w14:paraId="7AA9B5C0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5BAE8DB2" w14:textId="77777777" w:rsidR="00134C0B" w:rsidRPr="002551B0" w:rsidRDefault="00134C0B" w:rsidP="0050110D">
            <w:pPr>
              <w:rPr>
                <w:rFonts w:ascii="Arial" w:eastAsia="Arial Unicode MS" w:hAnsi="Arial" w:cs="Arial"/>
              </w:rPr>
            </w:pPr>
          </w:p>
        </w:tc>
      </w:tr>
      <w:tr w:rsidR="00134C0B" w:rsidRPr="002551B0" w14:paraId="117671D9" w14:textId="77777777" w:rsidTr="0050110D">
        <w:tc>
          <w:tcPr>
            <w:tcW w:w="0" w:type="auto"/>
            <w:shd w:val="clear" w:color="auto" w:fill="E6E6E6"/>
          </w:tcPr>
          <w:p w14:paraId="644EC07B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2551B0">
              <w:rPr>
                <w:rFonts w:ascii="Arial" w:eastAsia="Arial Unicode MS" w:hAnsi="Arial" w:cs="Arial"/>
                <w:iCs/>
              </w:rPr>
              <w:t>Capacités mathématiques</w:t>
            </w:r>
          </w:p>
        </w:tc>
        <w:tc>
          <w:tcPr>
            <w:tcW w:w="0" w:type="auto"/>
            <w:shd w:val="clear" w:color="auto" w:fill="E6E6E6"/>
          </w:tcPr>
          <w:p w14:paraId="3C3B1A82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4274AF50" w14:textId="77777777" w:rsidR="00134C0B" w:rsidRPr="002551B0" w:rsidRDefault="00134C0B" w:rsidP="0050110D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134C0B" w:rsidRPr="002551B0" w14:paraId="1D95E267" w14:textId="77777777" w:rsidTr="0050110D">
        <w:tc>
          <w:tcPr>
            <w:tcW w:w="0" w:type="auto"/>
          </w:tcPr>
          <w:p w14:paraId="07FA46E3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  <w:r w:rsidRPr="002551B0">
              <w:rPr>
                <w:rFonts w:ascii="Arial" w:eastAsia="Arial Unicode MS" w:hAnsi="Arial" w:cs="Arial"/>
                <w:iCs/>
              </w:rPr>
              <w:t>Utiliser une grandeur quotient pour déterminer le numérateur ou le dénominateur.</w:t>
            </w:r>
          </w:p>
        </w:tc>
        <w:tc>
          <w:tcPr>
            <w:tcW w:w="0" w:type="auto"/>
          </w:tcPr>
          <w:p w14:paraId="277E16A8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2B37FA9B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134C0B" w:rsidRPr="002551B0" w14:paraId="33A46D46" w14:textId="77777777" w:rsidTr="0050110D">
        <w:tc>
          <w:tcPr>
            <w:tcW w:w="0" w:type="auto"/>
          </w:tcPr>
          <w:p w14:paraId="1A1B57F2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Utiliser une droite d’étalonnage</w:t>
            </w:r>
          </w:p>
        </w:tc>
        <w:tc>
          <w:tcPr>
            <w:tcW w:w="0" w:type="auto"/>
          </w:tcPr>
          <w:p w14:paraId="2609A02E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5A52C034" w14:textId="77777777" w:rsidR="00134C0B" w:rsidRPr="002551B0" w:rsidRDefault="00134C0B" w:rsidP="0050110D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29D8520A" w14:textId="77777777" w:rsidR="00134C0B" w:rsidRPr="000005E4" w:rsidRDefault="00134C0B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sectPr w:rsidR="00134C0B" w:rsidRPr="000005E4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F25C3"/>
    <w:rsid w:val="00134C0B"/>
    <w:rsid w:val="00163C4A"/>
    <w:rsid w:val="00190A8E"/>
    <w:rsid w:val="00225581"/>
    <w:rsid w:val="003156B6"/>
    <w:rsid w:val="007F6D13"/>
    <w:rsid w:val="008559D8"/>
    <w:rsid w:val="00860CBB"/>
    <w:rsid w:val="009329F7"/>
    <w:rsid w:val="00A85EE1"/>
    <w:rsid w:val="00C450BA"/>
    <w:rsid w:val="00CB1C37"/>
    <w:rsid w:val="00DA29B4"/>
    <w:rsid w:val="00E6179B"/>
    <w:rsid w:val="00F32E8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78383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table" w:styleId="Grilledutableau">
    <w:name w:val="Table Grid"/>
    <w:basedOn w:val="TableauNormal"/>
    <w:rsid w:val="00134C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2021-11-06T08:38:00Z</dcterms:created>
  <dcterms:modified xsi:type="dcterms:W3CDTF">2021-11-06T08:38:00Z</dcterms:modified>
</cp:coreProperties>
</file>